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9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710"/>
        <w:gridCol w:w="1417"/>
        <w:gridCol w:w="687"/>
      </w:tblGrid>
      <w:tr w:rsidR="00B16402" w:rsidRPr="00B16402" w:rsidTr="00B344D0">
        <w:trPr>
          <w:gridBefore w:val="1"/>
          <w:gridAfter w:val="3"/>
          <w:wBefore w:w="850" w:type="dxa"/>
          <w:wAfter w:w="2814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B344D0">
        <w:trPr>
          <w:gridBefore w:val="1"/>
          <w:gridAfter w:val="1"/>
          <w:wBefore w:w="850" w:type="dxa"/>
          <w:wAfter w:w="687" w:type="dxa"/>
        </w:trPr>
        <w:tc>
          <w:tcPr>
            <w:tcW w:w="8364" w:type="dxa"/>
            <w:gridSpan w:val="4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left="-958" w:firstLine="9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9666F4" w:rsidRDefault="009666F4" w:rsidP="009666F4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16402" w:rsidRPr="00B16402" w:rsidRDefault="009666F4" w:rsidP="009666F4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декабря 2024 года                                                                            № 333-п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р.п. Черлак Омской области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rPr>
          <w:gridBefore w:val="2"/>
          <w:gridAfter w:val="2"/>
          <w:wBefore w:w="992" w:type="dxa"/>
          <w:wAfter w:w="2104" w:type="dxa"/>
        </w:trPr>
        <w:tc>
          <w:tcPr>
            <w:tcW w:w="6805" w:type="dxa"/>
            <w:gridSpan w:val="2"/>
          </w:tcPr>
          <w:p w:rsidR="00B16402" w:rsidRDefault="00B16402" w:rsidP="00B344D0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="003A26D6" w:rsidRPr="003A26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  <w:p w:rsidR="00E526E6" w:rsidRPr="00E526E6" w:rsidRDefault="00E526E6" w:rsidP="00B164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6402" w:rsidRPr="00B16402" w:rsidRDefault="00B16402" w:rsidP="00B16402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98" w:rsidRPr="00B16402" w:rsidRDefault="00606F98" w:rsidP="00B16402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16402" w:rsidRP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="003A26D6" w:rsidRP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субсидий из бюджета Черлакского муниципального района социально ориентированным некоммерческим организациям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настоящему постановлению.</w:t>
      </w:r>
    </w:p>
    <w:p w:rsid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Черлакского муниципального района от 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5 февраля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47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  <w:r w:rsidR="003A26D6" w:rsidRP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субсидий из бюджета Черлакского муниципального района социально ориентированным некоммерческим организациям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711C32" w:rsidRDefault="00711C3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711C32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351" w:rsidTr="00156E66">
        <w:tc>
          <w:tcPr>
            <w:tcW w:w="4785" w:type="dxa"/>
          </w:tcPr>
          <w:p w:rsidR="006C4351" w:rsidRPr="00B16402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Исполняющий обязанности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6C4351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                                    </w:t>
            </w:r>
          </w:p>
        </w:tc>
        <w:tc>
          <w:tcPr>
            <w:tcW w:w="4786" w:type="dxa"/>
          </w:tcPr>
          <w:p w:rsidR="006C4351" w:rsidRDefault="006C4351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6E66" w:rsidRDefault="00156E66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Траут</w:t>
            </w:r>
          </w:p>
        </w:tc>
      </w:tr>
      <w:tr w:rsidR="002719E5" w:rsidRPr="002719E5" w:rsidTr="00156E66">
        <w:trPr>
          <w:trHeight w:val="1099"/>
        </w:trPr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</w:p>
          <w:p w:rsidR="002719E5" w:rsidRP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9666F4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333-п</w:t>
            </w:r>
            <w:bookmarkStart w:id="0" w:name="_GoBack"/>
            <w:bookmarkEnd w:id="0"/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3A26D6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3A26D6">
        <w:rPr>
          <w:rStyle w:val="a4"/>
          <w:color w:val="292D24"/>
          <w:sz w:val="28"/>
          <w:szCs w:val="28"/>
        </w:rPr>
        <w:t>предоставления субсидий из бюджета Черлакского муниципального района социально ориентированным некоммерческим организациям</w:t>
      </w:r>
    </w:p>
    <w:p w:rsidR="003A26D6" w:rsidRDefault="003A26D6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r w:rsidR="00636A1F" w:rsidRPr="00636A1F">
        <w:rPr>
          <w:color w:val="292D24"/>
          <w:sz w:val="28"/>
          <w:szCs w:val="28"/>
        </w:rPr>
        <w:t xml:space="preserve">Настоящий Порядок </w:t>
      </w:r>
      <w:r w:rsidR="003A26D6" w:rsidRPr="003A26D6">
        <w:rPr>
          <w:color w:val="292D24"/>
          <w:sz w:val="28"/>
          <w:szCs w:val="28"/>
        </w:rPr>
        <w:t xml:space="preserve">предоставления субсидий из бюджета Черлакского муниципального района социально ориентированным некоммерческим организациям </w:t>
      </w:r>
      <w:r w:rsidR="00636A1F" w:rsidRPr="00636A1F">
        <w:rPr>
          <w:color w:val="292D24"/>
          <w:sz w:val="28"/>
          <w:szCs w:val="28"/>
        </w:rPr>
        <w:t xml:space="preserve">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3A26D6" w:rsidRPr="003A26D6">
        <w:rPr>
          <w:color w:val="292D24"/>
          <w:sz w:val="28"/>
          <w:szCs w:val="28"/>
        </w:rPr>
        <w:t>социально ориентированным некоммерческим организациям</w:t>
      </w:r>
      <w:r w:rsidR="003A26D6">
        <w:rPr>
          <w:color w:val="292D24"/>
          <w:sz w:val="28"/>
          <w:szCs w:val="28"/>
        </w:rPr>
        <w:t>,</w:t>
      </w:r>
      <w:r w:rsidR="003A26D6" w:rsidRPr="003A26D6">
        <w:rPr>
          <w:color w:val="292D24"/>
          <w:sz w:val="28"/>
          <w:szCs w:val="28"/>
        </w:rPr>
        <w:t xml:space="preserve"> </w:t>
      </w:r>
      <w:r w:rsidR="00976F08" w:rsidRPr="00976F08">
        <w:rPr>
          <w:color w:val="292D24"/>
          <w:sz w:val="28"/>
          <w:szCs w:val="28"/>
        </w:rPr>
        <w:t xml:space="preserve">осуществляющим </w:t>
      </w:r>
      <w:r w:rsidR="003A26D6">
        <w:rPr>
          <w:color w:val="292D24"/>
          <w:sz w:val="28"/>
          <w:szCs w:val="28"/>
        </w:rPr>
        <w:t>деят</w:t>
      </w:r>
      <w:r w:rsidR="00976F08" w:rsidRPr="00976F08">
        <w:rPr>
          <w:color w:val="292D24"/>
          <w:sz w:val="28"/>
          <w:szCs w:val="28"/>
        </w:rPr>
        <w:t xml:space="preserve">ельность на территории Черлакского муниципального района 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</w:t>
      </w:r>
      <w:r w:rsidR="0071021E">
        <w:rPr>
          <w:color w:val="292D24"/>
          <w:sz w:val="28"/>
          <w:szCs w:val="28"/>
        </w:rPr>
        <w:t>.</w:t>
      </w:r>
      <w:r w:rsidR="00976F08" w:rsidRPr="00976F08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 xml:space="preserve">Для целей настоящего Порядка </w:t>
      </w:r>
      <w:r w:rsidR="001C3226" w:rsidRPr="001C3226">
        <w:rPr>
          <w:color w:val="292D24"/>
          <w:sz w:val="28"/>
          <w:szCs w:val="28"/>
        </w:rPr>
        <w:t xml:space="preserve">под социально ориентированными некоммерческими организациями понимаются некоммерческие организации, созданные в предусмотренных Федеральным законом от 12января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указанного выше Федерального закона </w:t>
      </w:r>
      <w:r w:rsidR="00E00BED">
        <w:rPr>
          <w:color w:val="292D24"/>
          <w:sz w:val="28"/>
          <w:szCs w:val="28"/>
        </w:rPr>
        <w:t>(далее – Организация).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r w:rsidR="00C5776D"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="0071021E" w:rsidRPr="00976F08">
        <w:rPr>
          <w:color w:val="292D24"/>
          <w:sz w:val="28"/>
          <w:szCs w:val="28"/>
        </w:rPr>
        <w:t>в рамках подпрограммы «</w:t>
      </w:r>
      <w:r w:rsidR="001C3226" w:rsidRPr="001C3226">
        <w:rPr>
          <w:color w:val="292D24"/>
          <w:sz w:val="28"/>
          <w:szCs w:val="28"/>
        </w:rPr>
        <w:t>Социальная поддержка семей и отдельных категорий граждан Черлакского муниципального района, поддержка социально ориентированных некоммерческих организаций, осуществляющих деятельность на территории Че</w:t>
      </w:r>
      <w:r w:rsidR="001C3226">
        <w:rPr>
          <w:color w:val="292D24"/>
          <w:sz w:val="28"/>
          <w:szCs w:val="28"/>
        </w:rPr>
        <w:t>рлакского муниципального района</w:t>
      </w:r>
      <w:r w:rsidR="0071021E" w:rsidRPr="00976F08">
        <w:rPr>
          <w:color w:val="292D24"/>
          <w:sz w:val="28"/>
          <w:szCs w:val="28"/>
        </w:rPr>
        <w:t>» муниципальной программы Черлакского муниципального района «</w:t>
      </w:r>
      <w:r w:rsidR="001C3226">
        <w:rPr>
          <w:color w:val="292D24"/>
          <w:sz w:val="28"/>
          <w:szCs w:val="28"/>
        </w:rPr>
        <w:t>Социальное р</w:t>
      </w:r>
      <w:r w:rsidR="0071021E" w:rsidRPr="00976F08">
        <w:rPr>
          <w:color w:val="292D24"/>
          <w:sz w:val="28"/>
          <w:szCs w:val="28"/>
        </w:rPr>
        <w:t>азвитие 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1C3226">
        <w:rPr>
          <w:color w:val="292D24"/>
          <w:sz w:val="28"/>
          <w:szCs w:val="28"/>
        </w:rPr>
        <w:t>6</w:t>
      </w:r>
      <w:r w:rsidR="0071021E" w:rsidRPr="00976F08">
        <w:rPr>
          <w:color w:val="292D24"/>
          <w:sz w:val="28"/>
          <w:szCs w:val="28"/>
        </w:rPr>
        <w:t>-п</w:t>
      </w:r>
      <w:r w:rsidR="0071021E">
        <w:rPr>
          <w:color w:val="292D24"/>
          <w:sz w:val="28"/>
          <w:szCs w:val="28"/>
        </w:rPr>
        <w:t xml:space="preserve"> (далее – подпрограмма) </w:t>
      </w:r>
      <w:r w:rsidR="0027413D">
        <w:rPr>
          <w:color w:val="292D24"/>
          <w:sz w:val="28"/>
          <w:szCs w:val="28"/>
        </w:rPr>
        <w:t xml:space="preserve">является </w:t>
      </w:r>
      <w:r w:rsidR="001C3226" w:rsidRPr="001C3226">
        <w:rPr>
          <w:color w:val="292D24"/>
          <w:sz w:val="28"/>
          <w:szCs w:val="28"/>
        </w:rPr>
        <w:t xml:space="preserve">создание условий для эффективного участия </w:t>
      </w:r>
      <w:r w:rsidR="001C3226">
        <w:rPr>
          <w:color w:val="292D24"/>
          <w:sz w:val="28"/>
          <w:szCs w:val="28"/>
        </w:rPr>
        <w:t>О</w:t>
      </w:r>
      <w:r w:rsidR="001C3226" w:rsidRPr="001C3226">
        <w:rPr>
          <w:color w:val="292D24"/>
          <w:sz w:val="28"/>
          <w:szCs w:val="28"/>
        </w:rPr>
        <w:t>рганизаций в социально-экономическом развитии Черлакского муниципального района</w:t>
      </w:r>
      <w:r w:rsidR="009920BB" w:rsidRPr="00636A1F">
        <w:rPr>
          <w:color w:val="292D24"/>
          <w:sz w:val="28"/>
          <w:szCs w:val="28"/>
        </w:rPr>
        <w:t>.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расходов, источником финансового обеспечения которых является субсидия: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мероприятий в социальной сфере в интересах населения Черлакского муниципального района (далее – мероприятия в социальной сфере), направленных на: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мероприятий в честь Дней воинской и 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Славы, юбилейных, памятных дат и профессиональных праздников России, Вооруженных Сил России, организацию и проведение  Международного женского дня 8 Марта, Дня памяти погибших в радиационных авариях и катастрофах, Дня пожилых людей, Дня памяти жертв политических репрессий, Дня народного единства, Дня Матери, Международного Дня инвалидов, новогодних мероприятий;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конференций, семинаров (в том числе выездных), заседаний общественных комиссий, «круглых столов», торжественных (траурных) митингов, форумов, конкурсов, фестивалей, выставок;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реабилитационных мероприятий, в том числе социальных и культурно-досуговых для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людей старшего поколения, граждан, пострадавших от радиационного воздействия, семей, воспитывающих детей с ограниченными возможностями здоровья, детей блокадного Ленинграда;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увековечение памяти погибших при защите Отечества;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памятников, мемориальных досок, музеев (комнат) боевой и трудовой славы;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содержании воинских захоронений, памятников, обелисков и мемориальных досок;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брошюр, книг и других печатных изданий, сайтов, электронных ресурсов по увековечиванию памяти ветеранов, тружеников тыла, истории предприятий и организаций Черлакского района, людей, которые трудились в них в разные периоды времени;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спортивно-оздоровительной работы, направленной на развитие физической культуры, спорта  и формирование здорового образа жизни среди различных групп населения;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организацию и проведение работы, направленной на развитие культуры и искусства среди различных групп населения;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культурное, духовное и нравственное воспитание казаков, сохранение и развитие казачьих традиций и обычаев; 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работы, направленной на военно-патриотическое воспитание молодежи, ведение культурно-массовой и спортивной работы;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мероприятиях по охране окружающей среды и поддержке экологического движения на территории Черлакского района;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организационной, информационной, технической, правовой, методической поддержки социально-ориентированным некоммерческим организациям, социальным предпринимателям, а также инициативным группам граждан при реализации социальных проектов на территории Черлакского муниципального района;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конкурсах, фестивалях, выставках, спортивных мероприятиях;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чествование ветеранов Великой Отечественной войны, труда, 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 в юбилейные даты со дня рождения;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-подписка на периодические печатные издания;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ритуальных товаров;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больных ветеранов Великой Отечественной войны, труда, инвалидов на дому и в стационаре.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полное или частичное финансирование расходов, связанных с обеспечением деятельности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рганизаций, возникших в текущем финансовом году (далее – финансирование текущих затрат):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нежилых помещений, которые находятся по юридическому адресу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либо на право, пользования которыми для реализации уставных целей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заключен договор;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коммунальных услуг в нежилом помещении, которое находится по юридическому адресу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либо на право пользования которым для реализации уставных целей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заключен договор;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уплату государственных пошлин и иных платежей, связанных с обеспечением деятельности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за общественную деятельность;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канцелярских товаров;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услуг связи </w:t>
      </w:r>
      <w:r w:rsidR="00C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по доступу к сети Интернет;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противопожарной безопасности;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банка;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по приобретению, ремонту и обслуживанию оргтехники, программного обеспечения и расходных материалов;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ГСМ;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хозяйственных товаров;</w:t>
      </w:r>
    </w:p>
    <w:p w:rsidR="001C3226" w:rsidRPr="001C3226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мебели.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C3226">
        <w:rPr>
          <w:color w:val="292D24"/>
          <w:sz w:val="28"/>
          <w:szCs w:val="28"/>
        </w:rPr>
        <w:t>4.</w:t>
      </w:r>
      <w:r w:rsidRPr="001C3226">
        <w:rPr>
          <w:color w:val="292D24"/>
          <w:sz w:val="28"/>
          <w:szCs w:val="28"/>
        </w:rPr>
        <w:tab/>
      </w:r>
      <w:r w:rsidR="00732D50" w:rsidRPr="001C3226">
        <w:rPr>
          <w:color w:val="292D24"/>
          <w:sz w:val="28"/>
          <w:szCs w:val="28"/>
        </w:rPr>
        <w:t>Главным распорядителем средств бюджета Черлакского муниципального ра</w:t>
      </w:r>
      <w:r w:rsidR="00732D50" w:rsidRPr="00732D50">
        <w:rPr>
          <w:color w:val="292D24"/>
          <w:sz w:val="28"/>
          <w:szCs w:val="28"/>
        </w:rPr>
        <w:t>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Default="0027413D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финансовое обеспечение затрат.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 w:rsidR="00E00BED"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CD5F8F" w:rsidRPr="00CD5F8F">
        <w:rPr>
          <w:sz w:val="28"/>
          <w:szCs w:val="28"/>
        </w:rPr>
        <w:t xml:space="preserve">имеющие </w:t>
      </w:r>
      <w:r w:rsidR="00CD5F8F" w:rsidRPr="00CD5F8F">
        <w:rPr>
          <w:color w:val="292D24"/>
          <w:sz w:val="28"/>
          <w:szCs w:val="28"/>
        </w:rPr>
        <w:t>государственн</w:t>
      </w:r>
      <w:r w:rsidR="00CD5F8F">
        <w:rPr>
          <w:color w:val="292D24"/>
          <w:sz w:val="28"/>
          <w:szCs w:val="28"/>
        </w:rPr>
        <w:t>ую</w:t>
      </w:r>
      <w:r w:rsidR="00CD5F8F" w:rsidRPr="00CD5F8F">
        <w:rPr>
          <w:color w:val="292D24"/>
          <w:sz w:val="28"/>
          <w:szCs w:val="28"/>
        </w:rPr>
        <w:t xml:space="preserve"> регистраци</w:t>
      </w:r>
      <w:r w:rsidR="00CD5F8F">
        <w:rPr>
          <w:color w:val="292D24"/>
          <w:sz w:val="28"/>
          <w:szCs w:val="28"/>
        </w:rPr>
        <w:t>ю</w:t>
      </w:r>
      <w:r w:rsidR="00CD5F8F" w:rsidRPr="00CD5F8F">
        <w:rPr>
          <w:color w:val="292D24"/>
          <w:sz w:val="28"/>
          <w:szCs w:val="28"/>
        </w:rPr>
        <w:t xml:space="preserve"> в качестве юридического лица или имеющие статус филиала, подразделения федерального, областного общественного объединения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lastRenderedPageBreak/>
        <w:t xml:space="preserve">2) </w:t>
      </w:r>
      <w:r w:rsidR="00CD5F8F" w:rsidRPr="00CD5F8F">
        <w:rPr>
          <w:color w:val="292D24"/>
          <w:sz w:val="28"/>
          <w:szCs w:val="28"/>
        </w:rPr>
        <w:t>осуществл</w:t>
      </w:r>
      <w:r w:rsidR="0079459F">
        <w:rPr>
          <w:color w:val="292D24"/>
          <w:sz w:val="28"/>
          <w:szCs w:val="28"/>
        </w:rPr>
        <w:t>яющие</w:t>
      </w:r>
      <w:r w:rsidR="00CD5F8F" w:rsidRPr="00CD5F8F">
        <w:rPr>
          <w:color w:val="292D24"/>
          <w:sz w:val="28"/>
          <w:szCs w:val="28"/>
        </w:rPr>
        <w:t xml:space="preserve"> деятельнос</w:t>
      </w:r>
      <w:r w:rsidR="0079459F">
        <w:rPr>
          <w:color w:val="292D24"/>
          <w:sz w:val="28"/>
          <w:szCs w:val="28"/>
        </w:rPr>
        <w:t>ть</w:t>
      </w:r>
      <w:r w:rsidR="00CD5F8F" w:rsidRPr="00CD5F8F">
        <w:rPr>
          <w:color w:val="292D24"/>
          <w:sz w:val="28"/>
          <w:szCs w:val="28"/>
        </w:rPr>
        <w:t xml:space="preserve"> не менее одного года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9459F">
        <w:rPr>
          <w:color w:val="292D24"/>
          <w:sz w:val="28"/>
          <w:szCs w:val="28"/>
        </w:rPr>
        <w:t xml:space="preserve">3) </w:t>
      </w:r>
      <w:r w:rsidR="0079459F" w:rsidRPr="0079459F">
        <w:rPr>
          <w:color w:val="292D24"/>
          <w:sz w:val="28"/>
          <w:szCs w:val="28"/>
        </w:rPr>
        <w:t>осуществл</w:t>
      </w:r>
      <w:r w:rsidR="0079459F">
        <w:rPr>
          <w:color w:val="292D24"/>
          <w:sz w:val="28"/>
          <w:szCs w:val="28"/>
        </w:rPr>
        <w:t>яющие</w:t>
      </w:r>
      <w:r w:rsidR="0079459F" w:rsidRPr="0079459F">
        <w:rPr>
          <w:color w:val="292D24"/>
          <w:sz w:val="28"/>
          <w:szCs w:val="28"/>
        </w:rPr>
        <w:t xml:space="preserve"> од</w:t>
      </w:r>
      <w:r w:rsidR="0079459F">
        <w:rPr>
          <w:color w:val="292D24"/>
          <w:sz w:val="28"/>
          <w:szCs w:val="28"/>
        </w:rPr>
        <w:t>ин</w:t>
      </w:r>
      <w:r w:rsidR="0079459F" w:rsidRPr="0079459F">
        <w:rPr>
          <w:color w:val="292D24"/>
          <w:sz w:val="28"/>
          <w:szCs w:val="28"/>
        </w:rPr>
        <w:t xml:space="preserve"> или нескольких видов деятельности, предусмотренных ее учредительными документами деятельност</w:t>
      </w:r>
      <w:r w:rsidR="0079459F">
        <w:rPr>
          <w:color w:val="292D24"/>
          <w:sz w:val="28"/>
          <w:szCs w:val="28"/>
        </w:rPr>
        <w:t>ь</w:t>
      </w:r>
      <w:r w:rsidR="0079459F" w:rsidRPr="0079459F">
        <w:rPr>
          <w:color w:val="292D24"/>
          <w:sz w:val="28"/>
          <w:szCs w:val="28"/>
        </w:rPr>
        <w:t>, указанн</w:t>
      </w:r>
      <w:r w:rsidR="0079459F">
        <w:rPr>
          <w:color w:val="292D24"/>
          <w:sz w:val="28"/>
          <w:szCs w:val="28"/>
        </w:rPr>
        <w:t>ых</w:t>
      </w:r>
      <w:r w:rsidR="0079459F" w:rsidRPr="0079459F">
        <w:rPr>
          <w:color w:val="292D24"/>
          <w:sz w:val="28"/>
          <w:szCs w:val="28"/>
        </w:rPr>
        <w:t xml:space="preserve"> в пункте </w:t>
      </w:r>
      <w:r w:rsidR="0079459F">
        <w:rPr>
          <w:color w:val="292D24"/>
          <w:sz w:val="28"/>
          <w:szCs w:val="28"/>
        </w:rPr>
        <w:t>3</w:t>
      </w:r>
      <w:r w:rsidR="0079459F" w:rsidRPr="0079459F">
        <w:rPr>
          <w:color w:val="292D24"/>
          <w:sz w:val="28"/>
          <w:szCs w:val="28"/>
        </w:rPr>
        <w:t xml:space="preserve"> настоящего Порядка</w:t>
      </w:r>
      <w:r w:rsidRPr="0079459F">
        <w:rPr>
          <w:color w:val="292D24"/>
          <w:sz w:val="28"/>
          <w:szCs w:val="28"/>
        </w:rPr>
        <w:t>.</w:t>
      </w:r>
    </w:p>
    <w:p w:rsidR="00C94B6A" w:rsidRDefault="002F242C" w:rsidP="002F242C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r w:rsidR="00C94B6A"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C94B6A">
        <w:rPr>
          <w:rStyle w:val="a4"/>
          <w:b w:val="0"/>
          <w:color w:val="292D24"/>
          <w:sz w:val="28"/>
          <w:szCs w:val="28"/>
        </w:rPr>
        <w:t xml:space="preserve"> </w:t>
      </w:r>
      <w:r w:rsidR="0079459F">
        <w:rPr>
          <w:rStyle w:val="a4"/>
          <w:b w:val="0"/>
          <w:color w:val="292D24"/>
          <w:sz w:val="28"/>
          <w:szCs w:val="28"/>
        </w:rPr>
        <w:t>(</w:t>
      </w:r>
      <w:r w:rsidR="00C94B6A">
        <w:rPr>
          <w:rStyle w:val="a4"/>
          <w:b w:val="0"/>
          <w:color w:val="292D24"/>
          <w:sz w:val="28"/>
          <w:szCs w:val="28"/>
        </w:rPr>
        <w:t>далее – Единый портал)</w:t>
      </w:r>
      <w:r w:rsidR="009F5C71"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 xml:space="preserve">отбора 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C94B6A" w:rsidRPr="00C94B6A" w:rsidRDefault="008D7FA6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C94B6A"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 w:rsidR="00641204"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C94B6A" w:rsidRPr="00C94B6A" w:rsidRDefault="00641204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="00C94B6A"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6B3A4F" w:rsidRDefault="00C94B6A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1204">
        <w:rPr>
          <w:color w:val="292D24"/>
          <w:sz w:val="28"/>
          <w:szCs w:val="28"/>
        </w:rPr>
        <w:t>»</w:t>
      </w:r>
      <w:r w:rsidR="006B3A4F">
        <w:rPr>
          <w:color w:val="292D24"/>
          <w:sz w:val="28"/>
          <w:szCs w:val="28"/>
        </w:rPr>
        <w:t xml:space="preserve">. </w:t>
      </w:r>
    </w:p>
    <w:p w:rsidR="00BC2CB9" w:rsidRPr="00BC2CB9" w:rsidRDefault="006B3A4F" w:rsidP="00BC2CB9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="00BC2CB9"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BC2CB9">
        <w:rPr>
          <w:color w:val="292D24"/>
          <w:sz w:val="28"/>
          <w:szCs w:val="28"/>
        </w:rPr>
        <w:t>«</w:t>
      </w:r>
      <w:r w:rsidR="00BC2CB9" w:rsidRPr="00BC2CB9">
        <w:rPr>
          <w:color w:val="292D24"/>
          <w:sz w:val="28"/>
          <w:szCs w:val="28"/>
        </w:rPr>
        <w:t>Электронный бюджет</w:t>
      </w:r>
      <w:r w:rsidR="00BC2CB9">
        <w:rPr>
          <w:color w:val="292D24"/>
          <w:sz w:val="28"/>
          <w:szCs w:val="28"/>
        </w:rPr>
        <w:t>»</w:t>
      </w:r>
      <w:r w:rsidR="00BC2CB9" w:rsidRPr="00BC2CB9">
        <w:rPr>
          <w:color w:val="292D24"/>
          <w:sz w:val="28"/>
          <w:szCs w:val="28"/>
        </w:rPr>
        <w:t>.</w:t>
      </w:r>
    </w:p>
    <w:p w:rsidR="006B3A4F" w:rsidRDefault="008B08F9" w:rsidP="006B3A4F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7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Pr="008A091F">
        <w:rPr>
          <w:sz w:val="28"/>
          <w:szCs w:val="28"/>
        </w:rPr>
        <w:t>(</w:t>
      </w:r>
      <w:r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</w:t>
      </w:r>
      <w:r w:rsidR="00BC2CB9">
        <w:rPr>
          <w:color w:val="292D24"/>
          <w:sz w:val="28"/>
          <w:szCs w:val="28"/>
        </w:rPr>
        <w:t>срок не позднее 3</w:t>
      </w:r>
      <w:r w:rsidR="004731E2" w:rsidRPr="00D53EC9">
        <w:rPr>
          <w:color w:val="292D24"/>
          <w:sz w:val="28"/>
          <w:szCs w:val="28"/>
        </w:rPr>
        <w:t xml:space="preserve"> рабочих дней с</w:t>
      </w:r>
      <w:r w:rsidR="00BC2CB9">
        <w:rPr>
          <w:color w:val="292D24"/>
          <w:sz w:val="28"/>
          <w:szCs w:val="28"/>
        </w:rPr>
        <w:t>о дня</w:t>
      </w:r>
      <w:r w:rsidR="004731E2" w:rsidRPr="00D53EC9">
        <w:rPr>
          <w:color w:val="292D24"/>
          <w:sz w:val="28"/>
          <w:szCs w:val="28"/>
        </w:rPr>
        <w:t xml:space="preserve"> принятия р</w:t>
      </w:r>
      <w:r w:rsidR="00BC2CB9">
        <w:rPr>
          <w:color w:val="292D24"/>
          <w:sz w:val="28"/>
          <w:szCs w:val="28"/>
        </w:rPr>
        <w:t>аспоряжения Администрации</w:t>
      </w:r>
      <w:r w:rsidR="004731E2" w:rsidRPr="00D53EC9">
        <w:rPr>
          <w:color w:val="292D24"/>
          <w:sz w:val="28"/>
          <w:szCs w:val="28"/>
        </w:rPr>
        <w:t xml:space="preserve"> о проведении отбора</w:t>
      </w:r>
      <w:r w:rsidR="00BC2CB9">
        <w:rPr>
          <w:color w:val="292D24"/>
          <w:sz w:val="28"/>
          <w:szCs w:val="28"/>
        </w:rPr>
        <w:t xml:space="preserve"> и содержит:</w:t>
      </w:r>
    </w:p>
    <w:p w:rsidR="006B6771" w:rsidRDefault="006B6771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 w:rsidR="00E91A3A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D561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091F" w:rsidRPr="008A091F">
        <w:rPr>
          <w:rFonts w:ascii="Times New Roman" w:hAnsi="Times New Roman" w:cs="Times New Roman"/>
          <w:sz w:val="28"/>
          <w:szCs w:val="28"/>
        </w:rPr>
        <w:t>)</w:t>
      </w:r>
      <w:r w:rsidR="008A192A">
        <w:rPr>
          <w:rFonts w:ascii="Times New Roman" w:hAnsi="Times New Roman" w:cs="Times New Roman"/>
          <w:sz w:val="28"/>
          <w:szCs w:val="28"/>
        </w:rPr>
        <w:t xml:space="preserve">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8A091F" w:rsidRPr="008A091F" w:rsidRDefault="009D5616" w:rsidP="009D561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A091F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91F"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91F" w:rsidRPr="008A091F">
        <w:rPr>
          <w:rFonts w:ascii="Times New Roman" w:hAnsi="Times New Roman" w:cs="Times New Roman"/>
          <w:sz w:val="28"/>
          <w:szCs w:val="28"/>
        </w:rPr>
        <w:t>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830739"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="00D32A4D"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 w:rsidR="00D32A4D"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D32A4D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>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уклонившимся от заключения соглашения;</w:t>
      </w:r>
    </w:p>
    <w:p w:rsidR="00046A54" w:rsidRPr="00D818FE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 w:rsidR="009776CA"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76CA"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A52B17"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 w:rsidR="00404EA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 w:rsidR="00285547"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</w:t>
      </w:r>
      <w:r w:rsidR="0028554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285547" w:rsidRDefault="001061E2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</w:t>
      </w:r>
      <w:r w:rsidR="00285547" w:rsidRPr="00285547">
        <w:rPr>
          <w:rFonts w:ascii="Times New Roman" w:hAnsi="Times New Roman" w:cs="Times New Roman"/>
          <w:sz w:val="28"/>
          <w:szCs w:val="28"/>
        </w:rPr>
        <w:lastRenderedPageBreak/>
        <w:t>Организации или уполномоченного им лица и печатью Организации (при 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285547" w:rsidRPr="00285547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1061E2" w:rsidRPr="00285547" w:rsidRDefault="008A091F" w:rsidP="001061E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11.1. </w:t>
      </w:r>
      <w:r w:rsidR="00285547" w:rsidRPr="00285547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1061E2" w:rsidRPr="00285547">
        <w:rPr>
          <w:rFonts w:ascii="Times New Roman" w:hAnsi="Times New Roman" w:cs="Times New Roman"/>
          <w:sz w:val="28"/>
          <w:szCs w:val="28"/>
        </w:rPr>
        <w:t>:</w:t>
      </w:r>
    </w:p>
    <w:p w:rsidR="00E526E6" w:rsidRPr="00285547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15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0F158B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E526E6" w:rsidRPr="00285547" w:rsidRDefault="000F158B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Pr="00285547" w:rsidRDefault="000F158B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6C5D" w:rsidRPr="00B0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(смета) затрат для осуществление мероприятий в социальной сфере, для финансирования текущих затрат, предлагаемых к финансированию за счет субсидии по форме согласно приложений № </w:t>
      </w:r>
      <w:r w:rsidR="00A45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C5D" w:rsidRPr="00B0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6E6" w:rsidRPr="00285547" w:rsidRDefault="000F158B" w:rsidP="000F15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15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календарный план, содержащий перечень мероприятий и график их проведения, с указанием наименования мероприятия, краткого описания (цели, задач, организаторы, количество и категории участников, содержание, актуальность, ожидаемые результаты), места и срока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F3" w:rsidRPr="00B355F3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9D4559" w:rsidRDefault="009D4559" w:rsidP="00E44CA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:rsidR="00E44CAA" w:rsidRPr="00E44CAA" w:rsidRDefault="004A6B7E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 xml:space="preserve">12. </w:t>
      </w:r>
      <w:r w:rsidR="00E44CAA"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 w:rsidR="00E44CAA">
        <w:rPr>
          <w:color w:val="292D24"/>
          <w:sz w:val="28"/>
          <w:szCs w:val="28"/>
        </w:rPr>
        <w:t>Администрацией</w:t>
      </w:r>
      <w:r w:rsidR="00E44CAA" w:rsidRPr="00E44CAA">
        <w:rPr>
          <w:color w:val="292D24"/>
          <w:sz w:val="28"/>
          <w:szCs w:val="28"/>
        </w:rPr>
        <w:t>.</w:t>
      </w:r>
    </w:p>
    <w:p w:rsidR="00E44CAA" w:rsidRPr="00E44CAA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BB4F1F"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</w:t>
      </w:r>
      <w:r w:rsidRPr="00E44CAA">
        <w:rPr>
          <w:color w:val="292D24"/>
          <w:sz w:val="28"/>
          <w:szCs w:val="28"/>
        </w:rPr>
        <w:lastRenderedPageBreak/>
        <w:t xml:space="preserve">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9D4559" w:rsidRPr="009D4559">
        <w:rPr>
          <w:color w:val="292D24"/>
          <w:sz w:val="28"/>
          <w:szCs w:val="28"/>
        </w:rPr>
        <w:t>.</w:t>
      </w:r>
    </w:p>
    <w:p w:rsidR="00BB4F1F" w:rsidRPr="00BB4F1F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A7C" w:rsidRPr="00427A7C" w:rsidRDefault="00B62264" w:rsidP="00427A7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8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9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:rsidR="00427A7C" w:rsidRPr="00427A7C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4B0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72A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даты окончания приема заявок </w:t>
      </w:r>
      <w:r w:rsid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составлял не менее 3 календарных дней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объявление о проведении отбора получателей субсидии включается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положение, предусматривающее право Организаций внести изменение в заявки;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вку, уведомляются о вн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642" w:rsidRPr="00731642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позднее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731642" w:rsidRPr="00731642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27A7C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DD2386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2386"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DD2386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259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F9211F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F9211F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настоящим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 получения информации и документов от Организации для разъяснений по представленным им в соответствии с пункт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11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несостоявшимся в следующих случаях: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несостоявшимся размещается на едином портале и официальном сайте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победителя (победителей) отбора осуществляется Комиссией не позднее 3-го рабочего дня после дня подписания протокола рассмотрения заявок исходя из очередности их поступления.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завершения отбора и определения победителей отбора формируется протокол подведения итогов отбора, включающий следующие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Default="003A3F1E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путем формирования новой версии протокола с указанием причин внесения изменений. </w:t>
      </w:r>
    </w:p>
    <w:p w:rsidR="00427A7C" w:rsidRDefault="00427A7C" w:rsidP="00AC6F8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9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91"/>
      <w:bookmarkEnd w:id="2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92"/>
      <w:bookmarkEnd w:id="3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93"/>
      <w:bookmarkEnd w:id="4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94"/>
      <w:bookmarkEnd w:id="5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95"/>
      <w:bookmarkEnd w:id="6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0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1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0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31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осуществляет подготовку проекта Соглашения и направляет его победителю (победителям) отбора для подписания.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3F7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A7BF5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F7A24" w:rsidRPr="003F7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субсидии не может превышать объем средств, указанный в заявке </w:t>
      </w:r>
      <w:r w:rsidR="003F7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7BF5" w:rsidRPr="00E8213C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bookmarkEnd w:id="9"/>
    <w:p w:rsidR="00E8213C" w:rsidRP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1A7BF5" w:rsidTr="008C1F76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1A7BF5" w:rsidRDefault="001A7BF5" w:rsidP="008C1F76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СУБi=</w:t>
            </w: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Зi        </w:t>
            </w:r>
          </w:p>
        </w:tc>
      </w:tr>
      <w:tr w:rsidR="001A7BF5" w:rsidRPr="001A7BF5" w:rsidTr="008C1F76">
        <w:tc>
          <w:tcPr>
            <w:tcW w:w="998" w:type="dxa"/>
            <w:vMerge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</w:p>
        </w:tc>
      </w:tr>
    </w:tbl>
    <w:p w:rsidR="001A7BF5" w:rsidRPr="001A7BF5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СУБi - размер субсидии, предоставляемой i-й организации коммунального комплекса;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Зi – объем средств, указанный в заявке, представленной организацией коммунального комплекса в Администрацию.</w:t>
      </w:r>
    </w:p>
    <w:p w:rsidR="00BB5259" w:rsidRP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размер </w:t>
      </w:r>
      <w:r w:rsidR="003F7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указанный в заявке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превышает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ановленные 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DB2E7B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>Р</w:t>
      </w:r>
      <w:r w:rsidR="00BC3118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езультатом предоставления субсидии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>является</w:t>
      </w:r>
      <w:r w:rsidR="00DB2E7B">
        <w:rPr>
          <w:rFonts w:ascii="Times New Roman" w:hAnsi="Times New Roman" w:cs="Times New Roman"/>
          <w:color w:val="292D24"/>
          <w:sz w:val="28"/>
          <w:szCs w:val="28"/>
        </w:rPr>
        <w:t>:</w:t>
      </w:r>
    </w:p>
    <w:p w:rsidR="00DB2E7B" w:rsidRPr="00DB2E7B" w:rsidRDefault="00DB2E7B" w:rsidP="00DB2E7B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DB2E7B">
        <w:rPr>
          <w:rFonts w:ascii="Times New Roman" w:hAnsi="Times New Roman" w:cs="Times New Roman"/>
          <w:color w:val="292D24"/>
          <w:sz w:val="28"/>
          <w:szCs w:val="28"/>
        </w:rPr>
        <w:t>) осуществление мероприятий в социальной сфере в интересах населения Черлакского муниципального района не позднее 28 декабря года предоставления субсидии (для субсидий на осуществление мероприятий в социальной сфере);</w:t>
      </w:r>
    </w:p>
    <w:p w:rsidR="001F39F9" w:rsidRPr="00B74BE0" w:rsidRDefault="00DB2E7B" w:rsidP="00DB2E7B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2</w:t>
      </w:r>
      <w:r w:rsidRPr="00DB2E7B">
        <w:rPr>
          <w:rFonts w:ascii="Times New Roman" w:hAnsi="Times New Roman" w:cs="Times New Roman"/>
          <w:color w:val="292D24"/>
          <w:sz w:val="28"/>
          <w:szCs w:val="28"/>
        </w:rPr>
        <w:t>) освоение денежных средств, выделенных на финансирование расходов, связанных с обеспечением деятельности получателя субсидии, возникших в текущем финансовом году не позднее 28 декабря года предоставления субсидии (для субсидий на финансирование текущих затрат).</w:t>
      </w:r>
    </w:p>
    <w:p w:rsidR="001F39F9" w:rsidRDefault="001F39F9" w:rsidP="00DB2E7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Типом результата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DB2E7B" w:rsidRPr="00DB2E7B" w:rsidRDefault="00DB2E7B" w:rsidP="00DB2E7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DB2E7B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являются:</w:t>
      </w:r>
    </w:p>
    <w:p w:rsidR="00DB2E7B" w:rsidRPr="00DB2E7B" w:rsidRDefault="00DB2E7B" w:rsidP="00DB2E7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</w:t>
      </w:r>
      <w:r w:rsidRPr="00DB2E7B">
        <w:rPr>
          <w:color w:val="292D24"/>
          <w:sz w:val="28"/>
          <w:szCs w:val="28"/>
        </w:rPr>
        <w:t>) количество участников мероприятий, и (или) количество проведенных мероприятий (для субсидий на осуществление мероприятий в социальной сфере);</w:t>
      </w:r>
    </w:p>
    <w:p w:rsidR="008409F5" w:rsidRDefault="00DB2E7B" w:rsidP="00DB2E7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Pr="00DB2E7B">
        <w:rPr>
          <w:color w:val="292D24"/>
          <w:sz w:val="28"/>
          <w:szCs w:val="28"/>
        </w:rPr>
        <w:t>) процент освоения денежных средств (для субсидий на финансирование текущих затрат).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 xml:space="preserve">8. </w:t>
      </w:r>
      <w:r w:rsidR="00B74BE0">
        <w:rPr>
          <w:color w:val="292D24"/>
          <w:sz w:val="28"/>
          <w:szCs w:val="28"/>
        </w:rPr>
        <w:t>Организации</w:t>
      </w:r>
      <w:r w:rsidR="0096460E"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lastRenderedPageBreak/>
        <w:t>Сроки предоставления отчетности</w:t>
      </w:r>
      <w:r w:rsidR="00B75752"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="00B75752"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</w:p>
    <w:p w:rsidR="00040311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96460E"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 xml:space="preserve">окументов, указанных в пункте </w:t>
      </w:r>
      <w:r>
        <w:rPr>
          <w:color w:val="292D24"/>
          <w:sz w:val="28"/>
          <w:szCs w:val="28"/>
        </w:rPr>
        <w:t>3</w:t>
      </w:r>
      <w:r w:rsidR="0096460E">
        <w:rPr>
          <w:color w:val="292D24"/>
          <w:sz w:val="28"/>
          <w:szCs w:val="28"/>
        </w:rPr>
        <w:t>8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выявленного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="0096460E"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>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неустранения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Vвозврата = Vсубсидии x K,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Vвозврата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Vсубсидии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- коэффициент, отражающий уровень недостижения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При расчете K используются только положительные значения коэффициента, отражающего уровень недостижения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E50D86" w:rsidRPr="00D818F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средств в порядке, предусмотренном федеральным законодательством.</w:t>
      </w: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21D" w:rsidRDefault="00C1221D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4920DC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C1221D" w:rsidRPr="00C1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Pr="00C1221D" w:rsidRDefault="00C1221D" w:rsidP="00C1221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</w:t>
      </w: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749"/>
      </w:tblGrid>
      <w:tr w:rsidR="00C1221D" w:rsidRPr="00C1221D" w:rsidTr="00192156">
        <w:tc>
          <w:tcPr>
            <w:tcW w:w="566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(при создании до 1 июля 2002 года)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c>
          <w:tcPr>
            <w:tcW w:w="5669" w:type="dxa"/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749" w:type="dxa"/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blPrEx>
          <w:tblBorders>
            <w:insideH w:val="nil"/>
          </w:tblBorders>
        </w:tblPrEx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C1221D" w:rsidTr="00192156">
        <w:tblPrEx>
          <w:tblBorders>
            <w:insideH w:val="nil"/>
          </w:tblBorders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21D" w:rsidRPr="00C1221D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 организации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:rsidR="00C1221D" w:rsidRPr="00C1221D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</w:t>
      </w: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C1221D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21D" w:rsidRPr="002077D4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4509D7" w:rsidTr="004920DC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C1221D" w:rsidRPr="00C1221D" w:rsidRDefault="00C1221D" w:rsidP="00A2780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 w:rsidR="00A27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4509D7" w:rsidRPr="004509D7" w:rsidRDefault="00C1221D" w:rsidP="00C1221D">
            <w:pPr>
              <w:ind w:firstLine="0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C122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4509D7" w:rsidRDefault="004509D7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06" w:rsidRDefault="00A27806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06" w:rsidRPr="00A27806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(смета)</w:t>
      </w:r>
    </w:p>
    <w:p w:rsidR="00A27806" w:rsidRPr="00A27806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затрат для осуществление мероприятий в социальной сфере в интересах населения Черлакского муниципального района, для финансирования текущих затрат, предлагаемых к финансированию за счет субсидии</w:t>
      </w:r>
    </w:p>
    <w:p w:rsidR="00A27806" w:rsidRPr="00A27806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цели предоставления субсидии)</w:t>
      </w:r>
    </w:p>
    <w:p w:rsidR="00A27806" w:rsidRPr="00A27806" w:rsidRDefault="00A27806" w:rsidP="00A27806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социально ориентированной некоммерческой организации, не являющейся государственным (муниципальным) учреждением, осуществляющим деятельность в социальной сфере  (далее – некоммерческая организация))</w:t>
      </w:r>
    </w:p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851"/>
        <w:gridCol w:w="1701"/>
        <w:gridCol w:w="1276"/>
        <w:gridCol w:w="567"/>
        <w:gridCol w:w="567"/>
        <w:gridCol w:w="425"/>
        <w:gridCol w:w="512"/>
        <w:gridCol w:w="1275"/>
      </w:tblGrid>
      <w:tr w:rsidR="00A27806" w:rsidRPr="00A27806" w:rsidTr="00192156">
        <w:tc>
          <w:tcPr>
            <w:tcW w:w="710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Норма/цена за ед-цу 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(руб.)</w:t>
            </w:r>
          </w:p>
        </w:tc>
        <w:tc>
          <w:tcPr>
            <w:tcW w:w="2071" w:type="dxa"/>
            <w:gridSpan w:val="4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27806" w:rsidRPr="00A27806" w:rsidTr="00192156">
        <w:tc>
          <w:tcPr>
            <w:tcW w:w="710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4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по источникам финансирования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A27806" w:rsidTr="00192156">
        <w:tc>
          <w:tcPr>
            <w:tcW w:w="71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806" w:rsidRPr="00A27806" w:rsidTr="00192156">
        <w:tc>
          <w:tcPr>
            <w:tcW w:w="71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A27806" w:rsidTr="00192156">
        <w:tc>
          <w:tcPr>
            <w:tcW w:w="71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A27806" w:rsidTr="00192156">
        <w:tc>
          <w:tcPr>
            <w:tcW w:w="71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A27806" w:rsidTr="00192156">
        <w:tc>
          <w:tcPr>
            <w:tcW w:w="5104" w:type="dxa"/>
            <w:gridSpan w:val="5"/>
            <w:shd w:val="clear" w:color="auto" w:fill="auto"/>
          </w:tcPr>
          <w:p w:rsidR="00A27806" w:rsidRPr="00A27806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06" w:rsidRPr="00A27806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443"/>
        <w:gridCol w:w="2084"/>
        <w:gridCol w:w="3362"/>
      </w:tblGrid>
      <w:tr w:rsidR="00A27806" w:rsidRPr="00A27806" w:rsidTr="00192156">
        <w:tc>
          <w:tcPr>
            <w:tcW w:w="409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179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27806" w:rsidRPr="00A27806" w:rsidTr="00192156">
        <w:tc>
          <w:tcPr>
            <w:tcW w:w="4091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A27806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(главный бухгалтер)</w:t>
            </w:r>
          </w:p>
        </w:tc>
        <w:tc>
          <w:tcPr>
            <w:tcW w:w="2179" w:type="dxa"/>
            <w:shd w:val="clear" w:color="auto" w:fill="auto"/>
          </w:tcPr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27806" w:rsidRPr="00A27806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A27806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27806" w:rsidRPr="00A27806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«_____»__________________20_____ года                       М.П.</w:t>
      </w: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A27806" w:rsidRPr="004509D7" w:rsidTr="00192156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27806" w:rsidRPr="004509D7" w:rsidRDefault="00A27806" w:rsidP="00192156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7806" w:rsidRPr="004509D7" w:rsidRDefault="00A27806" w:rsidP="00192156">
            <w:pPr>
              <w:ind w:firstLine="0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A27806" w:rsidRPr="00A27806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4509D7" w:rsidRDefault="00A27806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7806" w:rsidRPr="004509D7" w:rsidSect="00B16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0F158B"/>
    <w:rsid w:val="001061E2"/>
    <w:rsid w:val="00156E66"/>
    <w:rsid w:val="001750B1"/>
    <w:rsid w:val="00181640"/>
    <w:rsid w:val="00193F5B"/>
    <w:rsid w:val="001A7BF5"/>
    <w:rsid w:val="001C3226"/>
    <w:rsid w:val="001D1E77"/>
    <w:rsid w:val="001D5821"/>
    <w:rsid w:val="001F39F9"/>
    <w:rsid w:val="00202D03"/>
    <w:rsid w:val="00204937"/>
    <w:rsid w:val="002077D4"/>
    <w:rsid w:val="00231051"/>
    <w:rsid w:val="002719E5"/>
    <w:rsid w:val="0027413D"/>
    <w:rsid w:val="00277F98"/>
    <w:rsid w:val="00285547"/>
    <w:rsid w:val="002F242C"/>
    <w:rsid w:val="002F3A03"/>
    <w:rsid w:val="00301F7D"/>
    <w:rsid w:val="003029BD"/>
    <w:rsid w:val="00325815"/>
    <w:rsid w:val="00325F1C"/>
    <w:rsid w:val="00326D37"/>
    <w:rsid w:val="003A00E8"/>
    <w:rsid w:val="003A26D6"/>
    <w:rsid w:val="003A3F1E"/>
    <w:rsid w:val="003B1D92"/>
    <w:rsid w:val="003D5258"/>
    <w:rsid w:val="003E10A3"/>
    <w:rsid w:val="003E45F4"/>
    <w:rsid w:val="003F704A"/>
    <w:rsid w:val="003F7A24"/>
    <w:rsid w:val="00404EA1"/>
    <w:rsid w:val="0042344F"/>
    <w:rsid w:val="00427A7C"/>
    <w:rsid w:val="004509D7"/>
    <w:rsid w:val="0045251C"/>
    <w:rsid w:val="004549A4"/>
    <w:rsid w:val="00455997"/>
    <w:rsid w:val="004731E2"/>
    <w:rsid w:val="004749DE"/>
    <w:rsid w:val="0049183B"/>
    <w:rsid w:val="004920DC"/>
    <w:rsid w:val="004948B0"/>
    <w:rsid w:val="004A6B7E"/>
    <w:rsid w:val="004A79F7"/>
    <w:rsid w:val="00505E5F"/>
    <w:rsid w:val="00526268"/>
    <w:rsid w:val="0053789F"/>
    <w:rsid w:val="00592409"/>
    <w:rsid w:val="00597275"/>
    <w:rsid w:val="005D79AF"/>
    <w:rsid w:val="005E5BC5"/>
    <w:rsid w:val="00606F98"/>
    <w:rsid w:val="00636A1F"/>
    <w:rsid w:val="00641204"/>
    <w:rsid w:val="00650B18"/>
    <w:rsid w:val="00661CD2"/>
    <w:rsid w:val="006854F6"/>
    <w:rsid w:val="0069247D"/>
    <w:rsid w:val="006B3A4F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9459F"/>
    <w:rsid w:val="007B76F7"/>
    <w:rsid w:val="007C2052"/>
    <w:rsid w:val="007D2DD0"/>
    <w:rsid w:val="007D6ADE"/>
    <w:rsid w:val="007F077E"/>
    <w:rsid w:val="007F36E8"/>
    <w:rsid w:val="00803C36"/>
    <w:rsid w:val="00812A55"/>
    <w:rsid w:val="00830739"/>
    <w:rsid w:val="008409F5"/>
    <w:rsid w:val="00840B89"/>
    <w:rsid w:val="00867767"/>
    <w:rsid w:val="00883B80"/>
    <w:rsid w:val="00894982"/>
    <w:rsid w:val="008A091F"/>
    <w:rsid w:val="008A192A"/>
    <w:rsid w:val="008B08F9"/>
    <w:rsid w:val="008D7FA6"/>
    <w:rsid w:val="008E2276"/>
    <w:rsid w:val="009035EE"/>
    <w:rsid w:val="009241D6"/>
    <w:rsid w:val="009241E0"/>
    <w:rsid w:val="009463AE"/>
    <w:rsid w:val="0096279C"/>
    <w:rsid w:val="0096460E"/>
    <w:rsid w:val="009666F4"/>
    <w:rsid w:val="00976F08"/>
    <w:rsid w:val="009776CA"/>
    <w:rsid w:val="0098786F"/>
    <w:rsid w:val="009920BB"/>
    <w:rsid w:val="009A1F3D"/>
    <w:rsid w:val="009D0A98"/>
    <w:rsid w:val="009D31F3"/>
    <w:rsid w:val="009D4559"/>
    <w:rsid w:val="009D5616"/>
    <w:rsid w:val="009E6611"/>
    <w:rsid w:val="009F5C71"/>
    <w:rsid w:val="00A03741"/>
    <w:rsid w:val="00A13B4F"/>
    <w:rsid w:val="00A15992"/>
    <w:rsid w:val="00A21B26"/>
    <w:rsid w:val="00A27806"/>
    <w:rsid w:val="00A34D70"/>
    <w:rsid w:val="00A45C1A"/>
    <w:rsid w:val="00A47F7F"/>
    <w:rsid w:val="00A52B17"/>
    <w:rsid w:val="00A61851"/>
    <w:rsid w:val="00A61D84"/>
    <w:rsid w:val="00AA79E1"/>
    <w:rsid w:val="00AB11CC"/>
    <w:rsid w:val="00AB3309"/>
    <w:rsid w:val="00AC6F8F"/>
    <w:rsid w:val="00AD334B"/>
    <w:rsid w:val="00B06C5D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221D"/>
    <w:rsid w:val="00C156FE"/>
    <w:rsid w:val="00C46897"/>
    <w:rsid w:val="00C5776D"/>
    <w:rsid w:val="00C614E0"/>
    <w:rsid w:val="00C75664"/>
    <w:rsid w:val="00C94B6A"/>
    <w:rsid w:val="00CB1E1F"/>
    <w:rsid w:val="00CD5F8F"/>
    <w:rsid w:val="00CF5D65"/>
    <w:rsid w:val="00D14105"/>
    <w:rsid w:val="00D32A4D"/>
    <w:rsid w:val="00D53AA6"/>
    <w:rsid w:val="00D53EC9"/>
    <w:rsid w:val="00D54B94"/>
    <w:rsid w:val="00D904DE"/>
    <w:rsid w:val="00DB2E7B"/>
    <w:rsid w:val="00DC072A"/>
    <w:rsid w:val="00DD09DB"/>
    <w:rsid w:val="00DD2386"/>
    <w:rsid w:val="00DE5E5E"/>
    <w:rsid w:val="00E00BED"/>
    <w:rsid w:val="00E279A6"/>
    <w:rsid w:val="00E31F53"/>
    <w:rsid w:val="00E32F07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372D"/>
    <w:rsid w:val="00F14A42"/>
    <w:rsid w:val="00F528E2"/>
    <w:rsid w:val="00F52B9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00001/10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lakskij-r52.gosweb.gosuslugi.ru" TargetMode="External"/><Relationship Id="rId12" Type="http://schemas.openxmlformats.org/officeDocument/2006/relationships/hyperlink" Target="https://internet.garant.ru/document/redirect/12112604/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26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12604/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5500001/333202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C5F2-67D4-4590-9017-24E57321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2024-11-29T03:56:00Z</dcterms:created>
  <dcterms:modified xsi:type="dcterms:W3CDTF">2024-12-27T03:20:00Z</dcterms:modified>
</cp:coreProperties>
</file>